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CE34" w14:textId="77777777" w:rsidR="00BA0F32" w:rsidRDefault="00EE449B">
      <w:pPr>
        <w:pStyle w:val="Normal1"/>
        <w:jc w:val="center"/>
        <w:rPr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b/>
          <w:sz w:val="36"/>
          <w:szCs w:val="36"/>
          <w:u w:val="single"/>
        </w:rPr>
        <w:t>TOWN OF FRANCONIA</w:t>
      </w:r>
    </w:p>
    <w:p w14:paraId="012C8C1E" w14:textId="77777777" w:rsidR="00BA0F32" w:rsidRDefault="00EE449B">
      <w:pPr>
        <w:pStyle w:val="Normal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Summary of Village Mixed Use District (VMU) and proposed changes to the Zoning Ordinance to be voted on at Town Meeting in March, 2018</w:t>
      </w:r>
    </w:p>
    <w:p w14:paraId="25080B9B" w14:textId="77777777" w:rsidR="00BA0F32" w:rsidRDefault="00EE449B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2016, the Town of Franconia received an MTAG Grant to support the creation of a Village Mixed Use district (VMU) within the so-called downtown area.  The Planning Board was assigned the task of managing the MTAG Grant and developing a viable VMU for Franconia under the guidelines of the Grant and working with the North County Council.  The project was completed in June of 2017 and reviewed at several </w:t>
      </w:r>
      <w:r w:rsidR="0097296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ublic </w:t>
      </w:r>
      <w:r w:rsidR="0097296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earings held this past fall.</w:t>
      </w:r>
    </w:p>
    <w:p w14:paraId="40B1EF55" w14:textId="77777777" w:rsidR="00BA0F32" w:rsidRDefault="00EE449B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goal of a VMU district is to create a more vibrant village center that is walkable, has a greater mix of commercial and residential (</w:t>
      </w:r>
      <w:r w:rsidR="00972968">
        <w:rPr>
          <w:b/>
          <w:sz w:val="28"/>
          <w:szCs w:val="28"/>
        </w:rPr>
        <w:t>i.e.</w:t>
      </w:r>
      <w:r>
        <w:rPr>
          <w:b/>
          <w:sz w:val="28"/>
          <w:szCs w:val="28"/>
        </w:rPr>
        <w:t xml:space="preserve"> a business with a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 residence) and is more affordable to develop due to greater density accommodations allowed within certain parameters.  The group spent considerable time defining and outlining a formal VMU district area for the Town</w:t>
      </w:r>
      <w:r w:rsidR="0097296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see map</w:t>
      </w:r>
      <w:r w:rsidR="00972968">
        <w:rPr>
          <w:b/>
          <w:sz w:val="28"/>
          <w:szCs w:val="28"/>
        </w:rPr>
        <w:t>).  T</w:t>
      </w:r>
      <w:r>
        <w:rPr>
          <w:b/>
          <w:sz w:val="28"/>
          <w:szCs w:val="28"/>
        </w:rPr>
        <w:t>he purple borderline defines the outer limit of the newly created district.  The primary drivers for creating the expanded VMU are as follows:</w:t>
      </w:r>
    </w:p>
    <w:p w14:paraId="053773CD" w14:textId="77777777" w:rsidR="00BA0F32" w:rsidRDefault="00EE449B">
      <w:pPr>
        <w:pStyle w:val="Normal1"/>
        <w:numPr>
          <w:ilvl w:val="0"/>
          <w:numId w:val="1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Proximity to the current village center</w:t>
      </w:r>
    </w:p>
    <w:p w14:paraId="3B622816" w14:textId="77777777" w:rsidR="00BA0F32" w:rsidRDefault="00EE449B">
      <w:pPr>
        <w:pStyle w:val="Normal1"/>
        <w:numPr>
          <w:ilvl w:val="0"/>
          <w:numId w:val="1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Access to municipal services – (primarily municipal water)</w:t>
      </w:r>
    </w:p>
    <w:p w14:paraId="3FA898B4" w14:textId="77777777" w:rsidR="00BA0F32" w:rsidRDefault="00EE449B">
      <w:pPr>
        <w:pStyle w:val="Normal1"/>
        <w:numPr>
          <w:ilvl w:val="0"/>
          <w:numId w:val="1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Walkability from current village center</w:t>
      </w:r>
    </w:p>
    <w:p w14:paraId="41F6FA85" w14:textId="77777777" w:rsidR="00BA0F32" w:rsidRDefault="00EE449B">
      <w:pPr>
        <w:pStyle w:val="Normal1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Availability of developable land</w:t>
      </w:r>
    </w:p>
    <w:p w14:paraId="3AF5A4F2" w14:textId="77777777" w:rsidR="00972968" w:rsidRDefault="00972968" w:rsidP="00972968">
      <w:pPr>
        <w:pStyle w:val="Normal1"/>
        <w:ind w:left="720"/>
        <w:contextualSpacing/>
        <w:jc w:val="both"/>
        <w:rPr>
          <w:b/>
          <w:sz w:val="28"/>
          <w:szCs w:val="28"/>
        </w:rPr>
      </w:pPr>
    </w:p>
    <w:p w14:paraId="7CC5AF94" w14:textId="77777777" w:rsidR="00BA0F32" w:rsidRDefault="00EE449B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order to accommodate the objectives and priorities of the VMU district, updates and additions were made to the Town of Franconia </w:t>
      </w:r>
      <w:r w:rsidR="0097296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oning</w:t>
      </w:r>
      <w:r w:rsidR="00972968">
        <w:rPr>
          <w:b/>
          <w:sz w:val="28"/>
          <w:szCs w:val="28"/>
        </w:rPr>
        <w:t xml:space="preserve"> Ordinance</w:t>
      </w:r>
      <w:r>
        <w:rPr>
          <w:b/>
          <w:sz w:val="28"/>
          <w:szCs w:val="28"/>
        </w:rPr>
        <w:t>:</w:t>
      </w:r>
    </w:p>
    <w:p w14:paraId="46EDAE89" w14:textId="77777777" w:rsidR="00BA0F32" w:rsidRDefault="00972968">
      <w:pPr>
        <w:pStyle w:val="Normal1"/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Allowance for ‘</w:t>
      </w:r>
      <w:r w:rsidR="00EE449B">
        <w:rPr>
          <w:b/>
          <w:sz w:val="28"/>
          <w:szCs w:val="28"/>
        </w:rPr>
        <w:t>Mixed Use Structures</w:t>
      </w:r>
      <w:r>
        <w:rPr>
          <w:b/>
          <w:sz w:val="28"/>
          <w:szCs w:val="28"/>
        </w:rPr>
        <w:t>’</w:t>
      </w:r>
      <w:r w:rsidR="00EE449B">
        <w:rPr>
          <w:b/>
          <w:sz w:val="28"/>
          <w:szCs w:val="28"/>
        </w:rPr>
        <w:t xml:space="preserve"> (commercial &amp; residential combined)</w:t>
      </w:r>
    </w:p>
    <w:p w14:paraId="274D9BA8" w14:textId="77777777" w:rsidR="00BA0F32" w:rsidRDefault="00EE449B">
      <w:pPr>
        <w:pStyle w:val="Normal1"/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Greater allowance for Multi-Family and Work Force housing units</w:t>
      </w:r>
    </w:p>
    <w:p w14:paraId="6759465C" w14:textId="77777777" w:rsidR="00BA0F32" w:rsidRDefault="00EE449B">
      <w:pPr>
        <w:pStyle w:val="Normal1"/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VMU zoning that allows for great development density nearer the roadways, in exchange for open space preservation behind the development</w:t>
      </w:r>
    </w:p>
    <w:p w14:paraId="66ED1874" w14:textId="77777777" w:rsidR="00BA0F32" w:rsidRDefault="00EE449B">
      <w:pPr>
        <w:pStyle w:val="Normal1"/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Cluster development road frontage modifications within the VMU </w:t>
      </w:r>
    </w:p>
    <w:p w14:paraId="30CFFC99" w14:textId="77777777" w:rsidR="00BA0F32" w:rsidRDefault="00EE449B">
      <w:pPr>
        <w:pStyle w:val="Normal1"/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Ability for special exceptions related to Accessory Dwelling Units</w:t>
      </w:r>
    </w:p>
    <w:p w14:paraId="361A46FC" w14:textId="77777777" w:rsidR="00BA0F32" w:rsidRDefault="00BA0F32">
      <w:pPr>
        <w:pStyle w:val="Normal1"/>
        <w:jc w:val="both"/>
        <w:rPr>
          <w:b/>
          <w:sz w:val="28"/>
          <w:szCs w:val="28"/>
        </w:rPr>
      </w:pPr>
    </w:p>
    <w:p w14:paraId="2921FD60" w14:textId="77777777" w:rsidR="00BA0F32" w:rsidRDefault="00EE449B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Zoning Definitions that were revised and updated to accommodate the VMU priorities and come into compliance with State RSA regulations:</w:t>
      </w:r>
    </w:p>
    <w:p w14:paraId="18021ED3" w14:textId="77777777" w:rsidR="00BA0F32" w:rsidRDefault="00EE449B">
      <w:pPr>
        <w:pStyle w:val="Normal1"/>
        <w:numPr>
          <w:ilvl w:val="0"/>
          <w:numId w:val="3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Multi-Family Residential Units</w:t>
      </w:r>
      <w:r>
        <w:rPr>
          <w:b/>
          <w:sz w:val="28"/>
          <w:szCs w:val="28"/>
        </w:rPr>
        <w:t xml:space="preserve"> – Built under a provision of the VMU Overlay District shall conform to the minimum acreage required in the </w:t>
      </w:r>
      <w:r w:rsidR="0097296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istrict in which it is to be located, with an additional one (1) acre of land required for each </w:t>
      </w:r>
      <w:r w:rsidR="0097296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esidential </w:t>
      </w:r>
      <w:r w:rsidR="0097296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nit over one (1) provided in the multi-unit structure up to eight (8) </w:t>
      </w:r>
      <w:r w:rsidR="0097296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esidential </w:t>
      </w:r>
      <w:r w:rsidR="0097296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nits.  The total number of </w:t>
      </w:r>
      <w:r w:rsidR="0097296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esidential </w:t>
      </w:r>
      <w:r w:rsidR="0097296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nits shall not be greater than twenty (20).</w:t>
      </w:r>
    </w:p>
    <w:p w14:paraId="24653B0D" w14:textId="77777777" w:rsidR="00BA0F32" w:rsidRDefault="00EE449B">
      <w:pPr>
        <w:pStyle w:val="Normal1"/>
        <w:numPr>
          <w:ilvl w:val="0"/>
          <w:numId w:val="3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Cluster Developments</w:t>
      </w:r>
      <w:r>
        <w:rPr>
          <w:b/>
          <w:sz w:val="28"/>
          <w:szCs w:val="28"/>
        </w:rPr>
        <w:t xml:space="preserve"> – Road frontage requirements were modified within the VMU district to reflect smaller lots already allowed </w:t>
      </w:r>
    </w:p>
    <w:p w14:paraId="5A97369D" w14:textId="77777777" w:rsidR="00BA0F32" w:rsidRDefault="00EE449B">
      <w:pPr>
        <w:pStyle w:val="Normal1"/>
        <w:numPr>
          <w:ilvl w:val="0"/>
          <w:numId w:val="3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Mixed Use Structure</w:t>
      </w:r>
      <w:r>
        <w:rPr>
          <w:b/>
          <w:sz w:val="28"/>
          <w:szCs w:val="28"/>
        </w:rPr>
        <w:t xml:space="preserve"> – A building which contains dwelling units located above the floor of a retail use, commercial office, civic or institutional space.</w:t>
      </w:r>
    </w:p>
    <w:p w14:paraId="76171D84" w14:textId="77777777" w:rsidR="00BA0F32" w:rsidRDefault="00EE449B">
      <w:pPr>
        <w:pStyle w:val="Normal1"/>
        <w:numPr>
          <w:ilvl w:val="0"/>
          <w:numId w:val="3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Accessory Dwelling Unit </w:t>
      </w:r>
      <w:r>
        <w:rPr>
          <w:b/>
          <w:sz w:val="28"/>
          <w:szCs w:val="28"/>
        </w:rPr>
        <w:t xml:space="preserve">– As compliant with the State RSAs.  Allowing special exceptions, the ZBA may permit one </w:t>
      </w:r>
      <w:r w:rsidR="0097296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nit attached to a </w:t>
      </w:r>
      <w:r w:rsidR="00972968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>e</w:t>
      </w:r>
      <w:r w:rsidR="00972968">
        <w:rPr>
          <w:b/>
          <w:sz w:val="28"/>
          <w:szCs w:val="28"/>
        </w:rPr>
        <w:t>-f</w:t>
      </w:r>
      <w:r>
        <w:rPr>
          <w:b/>
          <w:sz w:val="28"/>
          <w:szCs w:val="28"/>
        </w:rPr>
        <w:t xml:space="preserve">amily </w:t>
      </w:r>
      <w:r w:rsidR="0097296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esidential </w:t>
      </w:r>
      <w:r w:rsidR="0097296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tructure in any district whether as a conversion or a new-construction, if conditions are met.</w:t>
      </w:r>
    </w:p>
    <w:p w14:paraId="6FD45426" w14:textId="77777777" w:rsidR="00BA0F32" w:rsidRDefault="00EE449B">
      <w:pPr>
        <w:pStyle w:val="Normal1"/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Work Force Housing (WFH) </w:t>
      </w:r>
      <w:r>
        <w:rPr>
          <w:b/>
          <w:sz w:val="28"/>
          <w:szCs w:val="28"/>
        </w:rPr>
        <w:t>– Housing which is purpose-built to be affordable to a household with an income of not more than 100% of the median income for a 4-person household for the county in which the housing is located, as published annually by the U.S. Dept. of Housing &amp; Urban Development (HUD).  For a WFH rental, it has to be affordable to a household with an income of no more than 60% of the median income for a 3-person household for the county in which the housing is located as published annually by HUD.</w:t>
      </w:r>
    </w:p>
    <w:p w14:paraId="3FAD381B" w14:textId="0BECD628" w:rsidR="00BA0F32" w:rsidRDefault="00BA0F32">
      <w:pPr>
        <w:pStyle w:val="Normal1"/>
        <w:jc w:val="both"/>
        <w:rPr>
          <w:b/>
          <w:sz w:val="20"/>
          <w:szCs w:val="20"/>
        </w:rPr>
      </w:pPr>
    </w:p>
    <w:p w14:paraId="17E0722F" w14:textId="005A8332" w:rsidR="002E515A" w:rsidRDefault="00C3091D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Board also revised the wording regarding building setback and parking requirements for pre-1987 building lots.</w:t>
      </w:r>
    </w:p>
    <w:p w14:paraId="2B67BC47" w14:textId="77777777" w:rsidR="00C3091D" w:rsidRPr="00C3091D" w:rsidRDefault="00C3091D">
      <w:pPr>
        <w:pStyle w:val="Normal1"/>
        <w:jc w:val="both"/>
        <w:rPr>
          <w:b/>
          <w:sz w:val="28"/>
          <w:szCs w:val="28"/>
        </w:rPr>
      </w:pPr>
      <w:bookmarkStart w:id="1" w:name="_GoBack"/>
      <w:bookmarkEnd w:id="1"/>
    </w:p>
    <w:p w14:paraId="734E38D9" w14:textId="77777777" w:rsidR="00BA0F32" w:rsidRDefault="00EE449B">
      <w:pPr>
        <w:pStyle w:val="Normal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proposed revisions to the Franconia Zoning Ordinance are available on the </w:t>
      </w:r>
      <w:r w:rsidR="00972968">
        <w:rPr>
          <w:b/>
          <w:sz w:val="28"/>
          <w:szCs w:val="28"/>
        </w:rPr>
        <w:t xml:space="preserve">Town of </w:t>
      </w:r>
      <w:r>
        <w:rPr>
          <w:b/>
          <w:sz w:val="28"/>
          <w:szCs w:val="28"/>
        </w:rPr>
        <w:t xml:space="preserve">Franconia website or at the Town Hall. </w:t>
      </w:r>
    </w:p>
    <w:sectPr w:rsidR="00BA0F32" w:rsidSect="00972968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291A"/>
    <w:multiLevelType w:val="multilevel"/>
    <w:tmpl w:val="2376B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409E1"/>
    <w:multiLevelType w:val="multilevel"/>
    <w:tmpl w:val="4C026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13426A"/>
    <w:multiLevelType w:val="multilevel"/>
    <w:tmpl w:val="35FC8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F32"/>
    <w:rsid w:val="002E515A"/>
    <w:rsid w:val="00972968"/>
    <w:rsid w:val="00AD111E"/>
    <w:rsid w:val="00BA0F32"/>
    <w:rsid w:val="00C3091D"/>
    <w:rsid w:val="00E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095B"/>
  <w15:docId w15:val="{D30FBE27-ADD3-4E03-BB0E-B54B92BC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A0F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A0F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A0F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A0F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A0F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A0F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0F32"/>
  </w:style>
  <w:style w:type="paragraph" w:styleId="Title">
    <w:name w:val="Title"/>
    <w:basedOn w:val="Normal1"/>
    <w:next w:val="Normal1"/>
    <w:rsid w:val="00BA0F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A0F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TC-TC</dc:creator>
  <cp:lastModifiedBy>Carol Wills</cp:lastModifiedBy>
  <cp:revision>4</cp:revision>
  <dcterms:created xsi:type="dcterms:W3CDTF">2018-02-08T20:54:00Z</dcterms:created>
  <dcterms:modified xsi:type="dcterms:W3CDTF">2019-02-06T14:57:00Z</dcterms:modified>
</cp:coreProperties>
</file>